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DAE95" w14:textId="77777777" w:rsidR="00333ED5" w:rsidRPr="00333ED5" w:rsidRDefault="00333ED5" w:rsidP="00333ED5">
      <w:pPr>
        <w:pStyle w:val="a7"/>
        <w:spacing w:before="0" w:beforeAutospacing="0" w:after="0" w:afterAutospacing="0"/>
        <w:jc w:val="center"/>
        <w:rPr>
          <w:rFonts w:ascii="&amp;quot" w:hAnsi="&amp;quot"/>
          <w:color w:val="323232"/>
          <w:sz w:val="32"/>
          <w:szCs w:val="32"/>
        </w:rPr>
      </w:pPr>
      <w:r w:rsidRPr="00333ED5">
        <w:rPr>
          <w:rStyle w:val="a8"/>
          <w:rFonts w:ascii="仿宋" w:eastAsia="仿宋" w:hAnsi="仿宋" w:hint="eastAsia"/>
          <w:b w:val="0"/>
          <w:bCs w:val="0"/>
          <w:color w:val="323232"/>
          <w:sz w:val="32"/>
          <w:szCs w:val="32"/>
        </w:rPr>
        <w:t xml:space="preserve">第一章 </w:t>
      </w:r>
      <w:r w:rsidRPr="00333ED5">
        <w:rPr>
          <w:rStyle w:val="a8"/>
          <w:rFonts w:ascii="Calibri" w:eastAsia="仿宋" w:hAnsi="Calibri" w:cs="Calibri"/>
          <w:b w:val="0"/>
          <w:bCs w:val="0"/>
          <w:color w:val="323232"/>
          <w:sz w:val="32"/>
          <w:szCs w:val="32"/>
        </w:rPr>
        <w:t>   </w:t>
      </w:r>
      <w:r w:rsidRPr="00333ED5">
        <w:rPr>
          <w:rStyle w:val="a8"/>
          <w:rFonts w:ascii="仿宋" w:eastAsia="仿宋" w:hAnsi="仿宋" w:hint="eastAsia"/>
          <w:b w:val="0"/>
          <w:bCs w:val="0"/>
          <w:color w:val="323232"/>
          <w:sz w:val="32"/>
          <w:szCs w:val="32"/>
        </w:rPr>
        <w:t>总则</w:t>
      </w:r>
    </w:p>
    <w:p w14:paraId="6ACF79B2"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amp;quot" w:hAnsi="&amp;quot"/>
          <w:color w:val="323232"/>
          <w:sz w:val="32"/>
          <w:szCs w:val="32"/>
        </w:rPr>
        <w:t>   </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w:t>
      </w:r>
    </w:p>
    <w:p w14:paraId="347C8D43"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第一条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为提高我校各级各类在校生和教职工操作大型仪器设备的能力，保持分析测试中心（以下简称“中心”）下属各测试分室中仪器设备的良好状态，延长仪器设备使用寿命，减少故障，降低安全事故的发生率，保障开放服务和教学、科研活动的有序开展，充分发挥中心在学校人才培养工作和“双一流”建设中的支撑与保障作用，特制订本办法。</w:t>
      </w:r>
    </w:p>
    <w:p w14:paraId="294416E3"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t>第二条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中心所属大型贵重仪器设备均须采用先培训后上机的原则。小型光谱类、色谱类等常见、通用、操作简便的仪器设备，经中心技术人员考核认定后，可直接授予申请者上机资格。</w:t>
      </w:r>
    </w:p>
    <w:p w14:paraId="342ECA3F"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amp;quot" w:hAnsi="&amp;quot"/>
          <w:color w:val="323232"/>
          <w:sz w:val="32"/>
          <w:szCs w:val="32"/>
        </w:rPr>
        <w:t> </w:t>
      </w:r>
    </w:p>
    <w:p w14:paraId="0211AD2E" w14:textId="77777777" w:rsidR="00333ED5" w:rsidRPr="00333ED5" w:rsidRDefault="00333ED5" w:rsidP="00333ED5">
      <w:pPr>
        <w:pStyle w:val="a7"/>
        <w:spacing w:before="0" w:beforeAutospacing="0" w:after="0" w:afterAutospacing="0"/>
        <w:jc w:val="center"/>
        <w:rPr>
          <w:rFonts w:ascii="&amp;quot" w:hAnsi="&amp;quot"/>
          <w:color w:val="323232"/>
          <w:sz w:val="32"/>
          <w:szCs w:val="32"/>
        </w:rPr>
      </w:pPr>
      <w:r w:rsidRPr="00333ED5">
        <w:rPr>
          <w:rStyle w:val="a8"/>
          <w:rFonts w:ascii="仿宋" w:eastAsia="仿宋" w:hAnsi="仿宋" w:hint="eastAsia"/>
          <w:b w:val="0"/>
          <w:bCs w:val="0"/>
          <w:color w:val="323232"/>
          <w:sz w:val="32"/>
          <w:szCs w:val="32"/>
        </w:rPr>
        <w:t xml:space="preserve">第二章 </w:t>
      </w:r>
      <w:r w:rsidRPr="00333ED5">
        <w:rPr>
          <w:rStyle w:val="a8"/>
          <w:rFonts w:ascii="Calibri" w:eastAsia="仿宋" w:hAnsi="Calibri" w:cs="Calibri"/>
          <w:b w:val="0"/>
          <w:bCs w:val="0"/>
          <w:color w:val="323232"/>
          <w:sz w:val="32"/>
          <w:szCs w:val="32"/>
        </w:rPr>
        <w:t>   </w:t>
      </w:r>
      <w:r w:rsidRPr="00333ED5">
        <w:rPr>
          <w:rStyle w:val="a8"/>
          <w:rFonts w:ascii="仿宋" w:eastAsia="仿宋" w:hAnsi="仿宋" w:hint="eastAsia"/>
          <w:b w:val="0"/>
          <w:bCs w:val="0"/>
          <w:color w:val="323232"/>
          <w:sz w:val="32"/>
          <w:szCs w:val="32"/>
        </w:rPr>
        <w:t>培训与考核</w:t>
      </w:r>
    </w:p>
    <w:p w14:paraId="7B2D6C77" w14:textId="77777777" w:rsidR="00333ED5" w:rsidRPr="00333ED5" w:rsidRDefault="00333ED5" w:rsidP="00333ED5">
      <w:pPr>
        <w:pStyle w:val="a7"/>
        <w:spacing w:before="0" w:beforeAutospacing="0" w:after="0" w:afterAutospacing="0"/>
        <w:jc w:val="center"/>
        <w:rPr>
          <w:rFonts w:ascii="&amp;quot" w:hAnsi="&amp;quot"/>
          <w:color w:val="323232"/>
          <w:sz w:val="32"/>
          <w:szCs w:val="32"/>
        </w:rPr>
      </w:pPr>
      <w:r w:rsidRPr="00333ED5">
        <w:rPr>
          <w:rFonts w:ascii="&amp;quot" w:hAnsi="&amp;quot"/>
          <w:color w:val="323232"/>
          <w:sz w:val="32"/>
          <w:szCs w:val="32"/>
        </w:rPr>
        <w:t> </w:t>
      </w:r>
    </w:p>
    <w:p w14:paraId="18A6F843"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t>第三条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中心组织技术人员和相关专家制定各类仪器设备的操作培训课程。培训课程分为理论学习和实操训练两部分，包含但不限于仪器设备的工作原理、规范操作流程、维护保养方法、数据处理方法、安全</w:t>
      </w:r>
      <w:bookmarkStart w:id="0" w:name="_GoBack"/>
      <w:bookmarkEnd w:id="0"/>
      <w:r w:rsidRPr="00333ED5">
        <w:rPr>
          <w:rFonts w:ascii="仿宋" w:eastAsia="仿宋" w:hAnsi="仿宋" w:hint="eastAsia"/>
          <w:color w:val="323232"/>
          <w:sz w:val="32"/>
          <w:szCs w:val="32"/>
        </w:rPr>
        <w:t>注意事项、实验室行为规范和中心相关管理制度等内容，编排科学、合理、可操作性强。</w:t>
      </w:r>
    </w:p>
    <w:p w14:paraId="588EE374"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lastRenderedPageBreak/>
        <w:t>第四条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培训课程课时长度的确定应以保障课程教学效果为准，由课程主讲人依据仪器设备的实际情况把握，一般以32学时为宜，最低不少于16学时。</w:t>
      </w:r>
    </w:p>
    <w:p w14:paraId="7CB8AD0F"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t>第五条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培训课程分为基础知识普及型和技术应用型两类，课程主讲人应分别制定相应的教学计划，以满足师生对于大型仪器设备使用的不同需求。</w:t>
      </w:r>
    </w:p>
    <w:p w14:paraId="53D40312"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t>第六条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因中心大型仪器设备操作培训耗时长，参加每期培训的学员数目有限，故对于测试任务繁重、机时紧张的大型仪器设备，中心原则上根据各课题组使用该设备的频率分配免费培训名额。若课题组对今后设备的使用有更多的预期需求，可付费获取更多的培训名额。</w:t>
      </w:r>
    </w:p>
    <w:p w14:paraId="0786B5AA"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t>第七条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培训者在培训课程进行过程中，应对学员实行严格的考勤管理，杜绝迟到、早退或旷课现象，提高培训效率，保证培训效果。</w:t>
      </w:r>
    </w:p>
    <w:p w14:paraId="55F3F25B"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t>第八条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学员完成所有培训课程后，须参加中心组织的考核。考核的形式和内容由相关技术人员拟定，旨在考察学员是否真正具备独立上机操作能力和严格遵守操作规程的意识。</w:t>
      </w:r>
    </w:p>
    <w:p w14:paraId="0AA55E5C" w14:textId="77777777" w:rsidR="00333ED5" w:rsidRPr="00333ED5" w:rsidRDefault="00333ED5" w:rsidP="00333ED5">
      <w:pPr>
        <w:pStyle w:val="a7"/>
        <w:spacing w:before="0" w:beforeAutospacing="0" w:after="0" w:afterAutospacing="0"/>
        <w:jc w:val="center"/>
        <w:rPr>
          <w:rFonts w:ascii="&amp;quot" w:hAnsi="&amp;quot"/>
          <w:color w:val="323232"/>
          <w:sz w:val="32"/>
          <w:szCs w:val="32"/>
        </w:rPr>
      </w:pPr>
      <w:r w:rsidRPr="00333ED5">
        <w:rPr>
          <w:rFonts w:ascii="&amp;quot" w:hAnsi="&amp;quot"/>
          <w:color w:val="323232"/>
          <w:sz w:val="32"/>
          <w:szCs w:val="32"/>
        </w:rPr>
        <w:t> </w:t>
      </w:r>
    </w:p>
    <w:p w14:paraId="0521A5F9" w14:textId="77777777" w:rsidR="00333ED5" w:rsidRPr="00333ED5" w:rsidRDefault="00333ED5" w:rsidP="00333ED5">
      <w:pPr>
        <w:pStyle w:val="a7"/>
        <w:spacing w:before="0" w:beforeAutospacing="0" w:after="0" w:afterAutospacing="0"/>
        <w:jc w:val="center"/>
        <w:rPr>
          <w:rFonts w:ascii="&amp;quot" w:hAnsi="&amp;quot"/>
          <w:color w:val="323232"/>
          <w:sz w:val="32"/>
          <w:szCs w:val="32"/>
        </w:rPr>
      </w:pPr>
      <w:r w:rsidRPr="00333ED5">
        <w:rPr>
          <w:rStyle w:val="a8"/>
          <w:rFonts w:ascii="仿宋" w:eastAsia="仿宋" w:hAnsi="仿宋" w:hint="eastAsia"/>
          <w:b w:val="0"/>
          <w:bCs w:val="0"/>
          <w:color w:val="323232"/>
          <w:sz w:val="32"/>
          <w:szCs w:val="32"/>
        </w:rPr>
        <w:t xml:space="preserve">第三章 </w:t>
      </w:r>
      <w:r w:rsidRPr="00333ED5">
        <w:rPr>
          <w:rStyle w:val="a8"/>
          <w:rFonts w:ascii="Calibri" w:eastAsia="仿宋" w:hAnsi="Calibri" w:cs="Calibri"/>
          <w:b w:val="0"/>
          <w:bCs w:val="0"/>
          <w:color w:val="323232"/>
          <w:sz w:val="32"/>
          <w:szCs w:val="32"/>
        </w:rPr>
        <w:t>   </w:t>
      </w:r>
      <w:r w:rsidRPr="00333ED5">
        <w:rPr>
          <w:rStyle w:val="a8"/>
          <w:rFonts w:ascii="仿宋" w:eastAsia="仿宋" w:hAnsi="仿宋" w:hint="eastAsia"/>
          <w:b w:val="0"/>
          <w:bCs w:val="0"/>
          <w:color w:val="323232"/>
          <w:sz w:val="32"/>
          <w:szCs w:val="32"/>
        </w:rPr>
        <w:t>仪器设备操作证使用规范</w:t>
      </w:r>
    </w:p>
    <w:p w14:paraId="76E8FDEC" w14:textId="77777777" w:rsidR="00333ED5" w:rsidRPr="00333ED5" w:rsidRDefault="00333ED5" w:rsidP="00333ED5">
      <w:pPr>
        <w:pStyle w:val="a7"/>
        <w:spacing w:before="0" w:beforeAutospacing="0" w:after="0" w:afterAutospacing="0"/>
        <w:jc w:val="center"/>
        <w:rPr>
          <w:rFonts w:ascii="&amp;quot" w:hAnsi="&amp;quot"/>
          <w:color w:val="323232"/>
          <w:sz w:val="32"/>
          <w:szCs w:val="32"/>
        </w:rPr>
      </w:pPr>
      <w:r w:rsidRPr="00333ED5">
        <w:rPr>
          <w:rFonts w:ascii="&amp;quot" w:hAnsi="&amp;quot"/>
          <w:color w:val="323232"/>
          <w:sz w:val="32"/>
          <w:szCs w:val="32"/>
        </w:rPr>
        <w:t> </w:t>
      </w:r>
    </w:p>
    <w:p w14:paraId="636236FA"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lastRenderedPageBreak/>
        <w:t>第九条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基础知识普及型课程培训班学员考核合格后，中心为学员发放培训证书；技术应用型课程培训班学员通过考核后，须如实填写并提交《北京理工大学分析测试中心仪器设备操作证申领表》，中心审批通过后，为学员发放培训证书和仪器设备操作证。</w:t>
      </w:r>
    </w:p>
    <w:p w14:paraId="49E3F28E"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t>第十条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仪器设备操作证是所有上机人员唯一有效的上机凭证。仪器设备使用者上机前，须将操作证交由仪器设备负责人校验，人、</w:t>
      </w:r>
      <w:proofErr w:type="gramStart"/>
      <w:r w:rsidRPr="00333ED5">
        <w:rPr>
          <w:rFonts w:ascii="仿宋" w:eastAsia="仿宋" w:hAnsi="仿宋" w:hint="eastAsia"/>
          <w:color w:val="323232"/>
          <w:sz w:val="32"/>
          <w:szCs w:val="32"/>
        </w:rPr>
        <w:t>证一致</w:t>
      </w:r>
      <w:proofErr w:type="gramEnd"/>
      <w:r w:rsidRPr="00333ED5">
        <w:rPr>
          <w:rFonts w:ascii="仿宋" w:eastAsia="仿宋" w:hAnsi="仿宋" w:hint="eastAsia"/>
          <w:color w:val="323232"/>
          <w:sz w:val="32"/>
          <w:szCs w:val="32"/>
        </w:rPr>
        <w:t>且操作证在有效期内方可上机。</w:t>
      </w:r>
    </w:p>
    <w:p w14:paraId="48DD1457"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t>第十一条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仪器设备使用者须全程持证上机。刚取得仪器设备操作证的使用者，须由中心技术人员陪同上机、跟踪考察，以便及时处理各种突发情况。经过一段时间的考察后，技术人员确认没有问题的，方可完全独立上机。</w:t>
      </w:r>
    </w:p>
    <w:p w14:paraId="646236E1" w14:textId="77777777" w:rsidR="00333ED5" w:rsidRPr="00333ED5" w:rsidRDefault="00333ED5" w:rsidP="00333ED5">
      <w:pPr>
        <w:pStyle w:val="a7"/>
        <w:spacing w:before="0" w:beforeAutospacing="0" w:after="0" w:afterAutospacing="0"/>
        <w:ind w:firstLine="555"/>
        <w:rPr>
          <w:rFonts w:ascii="&amp;quot" w:hAnsi="&amp;quot"/>
          <w:color w:val="323232"/>
          <w:sz w:val="32"/>
          <w:szCs w:val="32"/>
        </w:rPr>
      </w:pPr>
      <w:r w:rsidRPr="00333ED5">
        <w:rPr>
          <w:rFonts w:ascii="仿宋" w:eastAsia="仿宋" w:hAnsi="仿宋" w:hint="eastAsia"/>
          <w:color w:val="323232"/>
          <w:sz w:val="32"/>
          <w:szCs w:val="32"/>
        </w:rPr>
        <w:t xml:space="preserve">第十二条 </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中心技术人员须定期检查上机人员的操作水平和规范意识，以保证上机人员操作能力的有效性。若在检查中发现持证人不再具备独立上机能力，应立即停止其独立上机资格并收回仪器设备操作证。</w:t>
      </w:r>
    </w:p>
    <w:p w14:paraId="26E03772"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amp;quot" w:hAnsi="&amp;quot"/>
          <w:color w:val="323232"/>
          <w:sz w:val="32"/>
          <w:szCs w:val="32"/>
        </w:rPr>
        <w:t xml:space="preserve">    </w:t>
      </w:r>
      <w:r w:rsidRPr="00333ED5">
        <w:rPr>
          <w:rFonts w:ascii="仿宋" w:eastAsia="仿宋" w:hAnsi="仿宋" w:hint="eastAsia"/>
          <w:color w:val="323232"/>
          <w:sz w:val="32"/>
          <w:szCs w:val="32"/>
        </w:rPr>
        <w:t>第十三条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取得仪器设备操作证的人员须坚持每周上机测试，以保持良好的操作水平和行为规范。连续两周无上机记录者，再次上机前，须由技术人员对其操作能力进行考察。通过考察者，方可继续保留上机资格；未通过考察者，将取消上机资格并收回仪器设备操作证。</w:t>
      </w:r>
    </w:p>
    <w:p w14:paraId="02BBE4DD" w14:textId="77777777" w:rsidR="00333ED5" w:rsidRPr="00333ED5" w:rsidRDefault="00333ED5" w:rsidP="00333ED5">
      <w:pPr>
        <w:pStyle w:val="a7"/>
        <w:spacing w:before="0" w:beforeAutospacing="0" w:after="0" w:afterAutospacing="0"/>
        <w:ind w:firstLine="560"/>
        <w:rPr>
          <w:rFonts w:ascii="&amp;quot" w:hAnsi="&amp;quot"/>
          <w:color w:val="323232"/>
          <w:sz w:val="32"/>
          <w:szCs w:val="32"/>
        </w:rPr>
      </w:pPr>
      <w:r w:rsidRPr="00333ED5">
        <w:rPr>
          <w:rFonts w:ascii="仿宋" w:eastAsia="仿宋" w:hAnsi="仿宋" w:hint="eastAsia"/>
          <w:color w:val="323232"/>
          <w:sz w:val="32"/>
          <w:szCs w:val="32"/>
        </w:rPr>
        <w:lastRenderedPageBreak/>
        <w:t>第十四条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仪器设备操作证的有效使用期限：</w:t>
      </w:r>
    </w:p>
    <w:p w14:paraId="7D479A98"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1. 在职教职工（包括中心工作人员、其他学院或单位教职工），仪器设备操作证使用期限为发证日期至离职或离岗日期；</w:t>
      </w:r>
    </w:p>
    <w:p w14:paraId="3F02AEC9"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2. 临时聘用人员，仪器设备操作证使用期限为发证日期至聘用合同到期日期；</w:t>
      </w:r>
    </w:p>
    <w:p w14:paraId="64F81F46"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3. 在校生（包括本科生、硕士生、博士生和博士后），仪器设备操作证的使用期限为发证日期至毕业（出站）日期。</w:t>
      </w:r>
    </w:p>
    <w:p w14:paraId="1DD49A7F"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amp;quot" w:hAnsi="&amp;quot"/>
          <w:color w:val="323232"/>
          <w:sz w:val="32"/>
          <w:szCs w:val="32"/>
        </w:rPr>
        <w:t xml:space="preserve">    </w:t>
      </w:r>
      <w:r w:rsidRPr="00333ED5">
        <w:rPr>
          <w:rFonts w:ascii="仿宋" w:eastAsia="仿宋" w:hAnsi="仿宋" w:hint="eastAsia"/>
          <w:color w:val="323232"/>
          <w:sz w:val="32"/>
          <w:szCs w:val="32"/>
        </w:rPr>
        <w:t>第十五条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仪器设备操作证为实名制证件，一人一证，仅限持证人自己上机使用，严禁外借。</w:t>
      </w:r>
    </w:p>
    <w:p w14:paraId="0037BA5B"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amp;quot" w:hAnsi="&amp;quot"/>
          <w:color w:val="323232"/>
          <w:sz w:val="32"/>
          <w:szCs w:val="32"/>
        </w:rPr>
        <w:t xml:space="preserve">    </w:t>
      </w:r>
      <w:r w:rsidRPr="00333ED5">
        <w:rPr>
          <w:rFonts w:ascii="仿宋" w:eastAsia="仿宋" w:hAnsi="仿宋" w:hint="eastAsia"/>
          <w:color w:val="323232"/>
          <w:sz w:val="32"/>
          <w:szCs w:val="32"/>
        </w:rPr>
        <w:t>第十六条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仪器设备操作证遗失、损坏或需变更使用期限的，应及时办理挂失、补办或变更手续，经中心核实后发放新证。</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w:t>
      </w:r>
    </w:p>
    <w:p w14:paraId="74F4DBB8"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amp;quot" w:hAnsi="&amp;quot"/>
          <w:color w:val="323232"/>
          <w:sz w:val="32"/>
          <w:szCs w:val="32"/>
        </w:rPr>
        <w:t xml:space="preserve">    </w:t>
      </w:r>
      <w:r w:rsidRPr="00333ED5">
        <w:rPr>
          <w:rFonts w:ascii="仿宋" w:eastAsia="仿宋" w:hAnsi="仿宋" w:hint="eastAsia"/>
          <w:color w:val="323232"/>
          <w:sz w:val="32"/>
          <w:szCs w:val="32"/>
        </w:rPr>
        <w:t>第十七条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持证人有以下行为之一的，取消其上机资格并收回仪器设备操作证，同时承担相应的责任：</w:t>
      </w:r>
    </w:p>
    <w:p w14:paraId="709E178E"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1. 仿冒仪器设备操作证或使用无效的操作证上机的；</w:t>
      </w:r>
    </w:p>
    <w:p w14:paraId="7BFA9898" w14:textId="77777777" w:rsidR="00333ED5" w:rsidRPr="00333ED5" w:rsidRDefault="00333ED5" w:rsidP="00333ED5">
      <w:pPr>
        <w:pStyle w:val="a7"/>
        <w:spacing w:before="0" w:beforeAutospacing="0" w:after="0" w:afterAutospacing="0"/>
        <w:ind w:firstLine="560"/>
        <w:rPr>
          <w:rFonts w:ascii="&amp;quot" w:hAnsi="&amp;quot"/>
          <w:color w:val="323232"/>
          <w:sz w:val="32"/>
          <w:szCs w:val="32"/>
        </w:rPr>
      </w:pPr>
      <w:r w:rsidRPr="00333ED5">
        <w:rPr>
          <w:rFonts w:ascii="仿宋" w:eastAsia="仿宋" w:hAnsi="仿宋" w:hint="eastAsia"/>
          <w:color w:val="323232"/>
          <w:sz w:val="32"/>
          <w:szCs w:val="32"/>
        </w:rPr>
        <w:t>2. 将仪器设备操作证借与他人使用或借用他人操作证上机的；</w:t>
      </w:r>
    </w:p>
    <w:p w14:paraId="57BD02B7"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3. 丢失仪器设备操作证且未及时办理挂失手续，使得操作证被他人冒用，导致安全事故、安全隐患或经济损失的；</w:t>
      </w:r>
    </w:p>
    <w:p w14:paraId="091E1E4B"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Calibri" w:eastAsia="仿宋" w:hAnsi="Calibri" w:cs="Calibri"/>
          <w:color w:val="323232"/>
          <w:sz w:val="32"/>
          <w:szCs w:val="32"/>
        </w:rPr>
        <w:lastRenderedPageBreak/>
        <w:t>   </w:t>
      </w:r>
      <w:r w:rsidRPr="00333ED5">
        <w:rPr>
          <w:rFonts w:ascii="仿宋" w:eastAsia="仿宋" w:hAnsi="仿宋" w:hint="eastAsia"/>
          <w:color w:val="323232"/>
          <w:sz w:val="32"/>
          <w:szCs w:val="32"/>
        </w:rPr>
        <w:t xml:space="preserve"> 4. 上机时违反操作规程或从事无关事务，经批评教育仍不改正的；</w:t>
      </w:r>
    </w:p>
    <w:p w14:paraId="637CE7BB"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5. 上机时擅自将无关或无证人员带入实验室，经批评教育仍不改正的；</w:t>
      </w:r>
    </w:p>
    <w:p w14:paraId="49D2CB86" w14:textId="77777777" w:rsidR="00333ED5" w:rsidRPr="00333ED5" w:rsidRDefault="00333ED5" w:rsidP="00333ED5">
      <w:pPr>
        <w:pStyle w:val="a7"/>
        <w:spacing w:before="0" w:beforeAutospacing="0" w:after="0" w:afterAutospacing="0"/>
        <w:ind w:firstLine="570"/>
        <w:rPr>
          <w:rFonts w:ascii="&amp;quot" w:hAnsi="&amp;quot"/>
          <w:color w:val="323232"/>
          <w:sz w:val="32"/>
          <w:szCs w:val="32"/>
        </w:rPr>
      </w:pPr>
      <w:r w:rsidRPr="00333ED5">
        <w:rPr>
          <w:rFonts w:ascii="仿宋" w:eastAsia="仿宋" w:hAnsi="仿宋" w:hint="eastAsia"/>
          <w:color w:val="323232"/>
          <w:sz w:val="32"/>
          <w:szCs w:val="32"/>
        </w:rPr>
        <w:t>6. 其它扰乱实验室秩序、可能导致实验室安全事故、安全隐患或重大经济损失的不恰当行为。</w:t>
      </w:r>
    </w:p>
    <w:p w14:paraId="36D69E4F" w14:textId="77777777" w:rsidR="00333ED5" w:rsidRPr="00333ED5" w:rsidRDefault="00333ED5" w:rsidP="00333ED5">
      <w:pPr>
        <w:pStyle w:val="a7"/>
        <w:spacing w:before="0" w:beforeAutospacing="0" w:after="0" w:afterAutospacing="0"/>
        <w:jc w:val="center"/>
        <w:rPr>
          <w:rFonts w:ascii="&amp;quot" w:hAnsi="&amp;quot"/>
          <w:color w:val="323232"/>
          <w:sz w:val="32"/>
          <w:szCs w:val="32"/>
        </w:rPr>
      </w:pPr>
      <w:r w:rsidRPr="00333ED5">
        <w:rPr>
          <w:rFonts w:ascii="&amp;quot" w:hAnsi="&amp;quot"/>
          <w:color w:val="323232"/>
          <w:sz w:val="32"/>
          <w:szCs w:val="32"/>
        </w:rPr>
        <w:t> </w:t>
      </w:r>
    </w:p>
    <w:p w14:paraId="6284133D" w14:textId="77777777" w:rsidR="00333ED5" w:rsidRPr="00333ED5" w:rsidRDefault="00333ED5" w:rsidP="00333ED5">
      <w:pPr>
        <w:pStyle w:val="a7"/>
        <w:spacing w:before="0" w:beforeAutospacing="0" w:after="0" w:afterAutospacing="0"/>
        <w:jc w:val="center"/>
        <w:rPr>
          <w:rFonts w:ascii="&amp;quot" w:hAnsi="&amp;quot"/>
          <w:color w:val="323232"/>
          <w:sz w:val="32"/>
          <w:szCs w:val="32"/>
        </w:rPr>
      </w:pPr>
      <w:r w:rsidRPr="00333ED5">
        <w:rPr>
          <w:rStyle w:val="a8"/>
          <w:rFonts w:ascii="仿宋" w:eastAsia="仿宋" w:hAnsi="仿宋" w:hint="eastAsia"/>
          <w:b w:val="0"/>
          <w:bCs w:val="0"/>
          <w:color w:val="323232"/>
          <w:sz w:val="32"/>
          <w:szCs w:val="32"/>
        </w:rPr>
        <w:t xml:space="preserve">第四章 </w:t>
      </w:r>
      <w:r w:rsidRPr="00333ED5">
        <w:rPr>
          <w:rStyle w:val="a8"/>
          <w:rFonts w:ascii="Calibri" w:eastAsia="仿宋" w:hAnsi="Calibri" w:cs="Calibri"/>
          <w:b w:val="0"/>
          <w:bCs w:val="0"/>
          <w:color w:val="323232"/>
          <w:sz w:val="32"/>
          <w:szCs w:val="32"/>
        </w:rPr>
        <w:t>   </w:t>
      </w:r>
      <w:r w:rsidRPr="00333ED5">
        <w:rPr>
          <w:rStyle w:val="a8"/>
          <w:rFonts w:ascii="仿宋" w:eastAsia="仿宋" w:hAnsi="仿宋" w:hint="eastAsia"/>
          <w:b w:val="0"/>
          <w:bCs w:val="0"/>
          <w:color w:val="323232"/>
          <w:sz w:val="32"/>
          <w:szCs w:val="32"/>
        </w:rPr>
        <w:t>附则</w:t>
      </w:r>
    </w:p>
    <w:p w14:paraId="7FE3037E" w14:textId="77777777" w:rsidR="00333ED5" w:rsidRPr="00333ED5" w:rsidRDefault="00333ED5" w:rsidP="00333ED5">
      <w:pPr>
        <w:pStyle w:val="a7"/>
        <w:spacing w:before="0" w:beforeAutospacing="0" w:after="0" w:afterAutospacing="0"/>
        <w:jc w:val="center"/>
        <w:rPr>
          <w:rFonts w:ascii="&amp;quot" w:hAnsi="&amp;quot"/>
          <w:color w:val="323232"/>
          <w:sz w:val="32"/>
          <w:szCs w:val="32"/>
        </w:rPr>
      </w:pPr>
      <w:r w:rsidRPr="00333ED5">
        <w:rPr>
          <w:rFonts w:ascii="&amp;quot" w:hAnsi="&amp;quot"/>
          <w:color w:val="323232"/>
          <w:sz w:val="32"/>
          <w:szCs w:val="32"/>
        </w:rPr>
        <w:t> </w:t>
      </w:r>
    </w:p>
    <w:p w14:paraId="4309EE09" w14:textId="77777777" w:rsidR="00333ED5" w:rsidRPr="00333ED5" w:rsidRDefault="00333ED5" w:rsidP="00333ED5">
      <w:pPr>
        <w:pStyle w:val="a7"/>
        <w:spacing w:before="0" w:beforeAutospacing="0" w:after="0" w:afterAutospacing="0"/>
        <w:rPr>
          <w:rFonts w:ascii="&amp;quot" w:hAnsi="&amp;quot"/>
          <w:color w:val="323232"/>
          <w:sz w:val="32"/>
          <w:szCs w:val="32"/>
        </w:rPr>
      </w:pPr>
      <w:r w:rsidRPr="00333ED5">
        <w:rPr>
          <w:rFonts w:ascii="&amp;quot" w:hAnsi="&amp;quot"/>
          <w:color w:val="323232"/>
          <w:sz w:val="32"/>
          <w:szCs w:val="32"/>
        </w:rPr>
        <w:t xml:space="preserve">    </w:t>
      </w:r>
      <w:r w:rsidRPr="00333ED5">
        <w:rPr>
          <w:rFonts w:ascii="仿宋" w:eastAsia="仿宋" w:hAnsi="仿宋" w:hint="eastAsia"/>
          <w:color w:val="323232"/>
          <w:sz w:val="32"/>
          <w:szCs w:val="32"/>
        </w:rPr>
        <w:t>第十八条</w:t>
      </w:r>
      <w:r w:rsidRPr="00333ED5">
        <w:rPr>
          <w:rFonts w:ascii="Calibri" w:eastAsia="仿宋" w:hAnsi="Calibri" w:cs="Calibri"/>
          <w:color w:val="323232"/>
          <w:sz w:val="32"/>
          <w:szCs w:val="32"/>
        </w:rPr>
        <w:t> </w:t>
      </w:r>
      <w:r w:rsidRPr="00333ED5">
        <w:rPr>
          <w:rFonts w:ascii="仿宋" w:eastAsia="仿宋" w:hAnsi="仿宋" w:hint="eastAsia"/>
          <w:color w:val="323232"/>
          <w:sz w:val="32"/>
          <w:szCs w:val="32"/>
        </w:rPr>
        <w:t xml:space="preserve"> 本办法自发布之日起施行，由分析测试中心负责解释。</w:t>
      </w:r>
    </w:p>
    <w:p w14:paraId="4DEDD74F" w14:textId="77777777" w:rsidR="009740D3" w:rsidRPr="00333ED5" w:rsidRDefault="00141459">
      <w:pPr>
        <w:rPr>
          <w:sz w:val="32"/>
          <w:szCs w:val="32"/>
        </w:rPr>
      </w:pPr>
    </w:p>
    <w:sectPr w:rsidR="009740D3" w:rsidRPr="00333E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2649B" w14:textId="77777777" w:rsidR="00141459" w:rsidRDefault="00141459" w:rsidP="00333ED5">
      <w:r>
        <w:separator/>
      </w:r>
    </w:p>
  </w:endnote>
  <w:endnote w:type="continuationSeparator" w:id="0">
    <w:p w14:paraId="5D5C02D4" w14:textId="77777777" w:rsidR="00141459" w:rsidRDefault="00141459" w:rsidP="00333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Cambria"/>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D865F" w14:textId="77777777" w:rsidR="00141459" w:rsidRDefault="00141459" w:rsidP="00333ED5">
      <w:r>
        <w:separator/>
      </w:r>
    </w:p>
  </w:footnote>
  <w:footnote w:type="continuationSeparator" w:id="0">
    <w:p w14:paraId="23AF804D" w14:textId="77777777" w:rsidR="00141459" w:rsidRDefault="00141459" w:rsidP="00333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E10"/>
    <w:rsid w:val="00015A6B"/>
    <w:rsid w:val="00141459"/>
    <w:rsid w:val="00333ED5"/>
    <w:rsid w:val="00694E10"/>
    <w:rsid w:val="00976AC0"/>
    <w:rsid w:val="00CA6132"/>
    <w:rsid w:val="00FD58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4D7D76-6366-4DFA-9597-1DA5A711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3ED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33ED5"/>
    <w:rPr>
      <w:sz w:val="18"/>
      <w:szCs w:val="18"/>
    </w:rPr>
  </w:style>
  <w:style w:type="paragraph" w:styleId="a5">
    <w:name w:val="footer"/>
    <w:basedOn w:val="a"/>
    <w:link w:val="a6"/>
    <w:uiPriority w:val="99"/>
    <w:unhideWhenUsed/>
    <w:rsid w:val="00333ED5"/>
    <w:pPr>
      <w:tabs>
        <w:tab w:val="center" w:pos="4153"/>
        <w:tab w:val="right" w:pos="8306"/>
      </w:tabs>
      <w:snapToGrid w:val="0"/>
      <w:jc w:val="left"/>
    </w:pPr>
    <w:rPr>
      <w:sz w:val="18"/>
      <w:szCs w:val="18"/>
    </w:rPr>
  </w:style>
  <w:style w:type="character" w:customStyle="1" w:styleId="a6">
    <w:name w:val="页脚 字符"/>
    <w:basedOn w:val="a0"/>
    <w:link w:val="a5"/>
    <w:uiPriority w:val="99"/>
    <w:rsid w:val="00333ED5"/>
    <w:rPr>
      <w:sz w:val="18"/>
      <w:szCs w:val="18"/>
    </w:rPr>
  </w:style>
  <w:style w:type="paragraph" w:styleId="a7">
    <w:name w:val="Normal (Web)"/>
    <w:basedOn w:val="a"/>
    <w:uiPriority w:val="99"/>
    <w:semiHidden/>
    <w:unhideWhenUsed/>
    <w:rsid w:val="00333ED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33E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99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294</Words>
  <Characters>1677</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Happy</dc:creator>
  <cp:keywords/>
  <dc:description/>
  <cp:lastModifiedBy>Happy</cp:lastModifiedBy>
  <cp:revision>2</cp:revision>
  <dcterms:created xsi:type="dcterms:W3CDTF">2018-11-12T08:39:00Z</dcterms:created>
  <dcterms:modified xsi:type="dcterms:W3CDTF">2018-11-12T08:39:00Z</dcterms:modified>
</cp:coreProperties>
</file>